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- Identificación del solicitante (nombre y apellidos o denominación social)</w:t>
      </w:r>
    </w:p>
    <w:p>
      <w:pPr/>
      <w:r>
        <w:rPr/>
        <w:t xml:space="preserve">- Dirección de contacto, preferentemente electrónica, a efectos de comunicación.</w:t>
      </w:r>
    </w:p>
    <w:p>
      <w:pPr/>
      <w:r>
        <w:rPr/>
        <w:t xml:space="preserve">- Descripción precisa de la información que se solicita.</w:t>
      </w:r>
    </w:p>
    <w:p>
      <w:pPr/>
      <w:r>
        <w:rPr/>
        <w:t xml:space="preserve">Las solicitudes de acceso se podrán hacer llegar a través de la sede electrónica en el siguiente enlace y usando el formulario “8303 Solicitudes de información con base en la Ley de Transparencia.”:</w:t>
      </w:r>
    </w:p>
    <w:p>
      <w:pPr/>
    </w:p>
    <w:p>
      <w:pPr/>
      <w:r>
        <w:rPr/>
        <w:t xml:space="preserve">En cualquier caso, las solicitudes pueden presentarse a través de cualquiera de los registros públicos que establece el artículo 16 de la Ley 39/2015, de 1 de octubre, del Procedimiento Administrativo Común de las Administraciones Públicas.</w:t>
      </w:r>
    </w:p>
    <w:p>
      <w:pPr/>
      <w:r>
        <w:rPr>
          <w:b w:val="1"/>
          <w:bCs w:val="1"/>
        </w:rPr>
        <w:t xml:space="preserve">Limites del derecho de acceso </w:t>
      </w:r>
      <w:r>
        <w:rPr/>
        <w:t xml:space="preserve"> (artículo 14 de la LTAIBG)</w:t>
      </w:r>
    </w:p>
    <w:p>
      <w:pPr/>
      <w:r>
        <w:rPr/>
        <w:t xml:space="preserve">- La seguridad nacional (art. 14.1.a). - La defensa (art. 14.1.b). - Las relaciones exteriores (art. 14.1.c). - La seguridad pública (art. 14.1.d). - La prevención, investigación y sanción de los ilícitos penales, administrativos o disciplinarios (art. 14.1.e). - La igualdad de las partes en los procesos judiciales y la tutela judicial efectiva (art. 14.1.f). - Las funciones administrativas de vigilancia, inspección y control (art. 14.1.g). - Los intereses económicos y comerciales (art. 14.1.h). - La política económica y monetaria (art. 14.1.i). - El secreto profesional y la propiedad intelectual e industrial (art. 14.1.j). - La garantía de la confidencialidad o el secreto requerido en procesos de toma de decisión (art. 14.1.k). - La protección del medio ambiente (art. 14.1.l).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2026-08-17T04:01:40+00:00</dcterms:created>
  <dcterms:modified xsi:type="dcterms:W3CDTF">2026-08-17T04:01:40+00:00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