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/>
        <w:t xml:space="preserve">Las solicitudes de acceso se podrán hacer llegar a través de la sede electrónica en el siguiente enlace y usando el formulario “8303 Solicitudes de información con base en la Ley de Transparencia.”:</w:t>
      </w:r>
    </w:p>
    <w:p>
      <w:pPr/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>
          <w:b w:val="1"/>
          <w:bCs w:val="1"/>
        </w:rPr>
        <w:t xml:space="preserve">Limites del derecho de acceso 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2026-06-19T04:43:51+00:00</dcterms:created>
  <dcterms:modified xsi:type="dcterms:W3CDTF">2026-06-19T04:43:51+00:00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