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la obligación de publicidad activa de la Ley 19/2013, de 9 de diciembre, de transparencia, acceso a la información pública y buen gobierno sobre “Ias resoluciones de autorización para el ejercicio de actividad privada al cese de los altos cargos", la APB pone en conocimiento de la ciudadanía del municipio y del público en general que </w:t>
      </w:r>
      <w:r>
        <w:rPr>
          <w:b w:val="1"/>
          <w:bCs w:val="1"/>
        </w:rPr>
        <w:t xml:space="preserve">hasta la fecha, no existe información al respecto al no haber tenido lugar ninguna resolución de este tipo.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2026-06-19T04:46:06+00:00</dcterms:created>
  <dcterms:modified xsi:type="dcterms:W3CDTF">2026-06-19T04:46:06+00:00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