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336450" w:type="dxa"/>
        <w:gridCol w:w="10050" w:type="dxa"/>
        <w:gridCol w:w="101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36450" w:type="pct"/>
            <w:gridSpan w:val="2"/>
          </w:tcPr>
          <w:p>
            <w:pPr/>
            <w:r>
              <w:rPr/>
              <w:t xml:space="preserve">Registro de Actividades</w:t>
            </w:r>
          </w:p>
        </w:tc>
        <w:tc>
          <w:tcPr>
            <w:tcW w:w="10050" w:type="pct"/>
          </w:tcPr>
          <w:p>
            <w:pPr/>
            <w:r>
              <w:rPr/>
              <w:t xml:space="preserve">PDF</w:t>
            </w:r>
          </w:p>
        </w:tc>
        <w:tc>
          <w:tcPr>
            <w:tcW w:w="101150" w:type="pct"/>
          </w:tcPr>
          <w:p>
            <w:pPr/>
            <w:r>
              <w:rPr/>
              <w:t xml:space="preserve">Documento Abierto</w:t>
            </w:r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Ley 19/2013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Archivo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Autorizaciones y concesiones de Dominio Publico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Gestion economica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Coordinacion de actividades empresariales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Censo de servicios comerciales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Control y solicitudes de acceso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Control de atraques de buques mercantes y de pasajeros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Videovigilancia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Personal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Quejas, sugerencias y reclamaciones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Cita previa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Marketing, relaciones publicas y comunicaciones comerciales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Concursos, eventos y protocolos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Agenda y contactos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Expedientes sancionadores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Reclamaciones patrimoniales y comunicaciones juridicas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Registro de entrada y salida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Consejo de navegacion, administracion y comite de servicios portuarios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Cookies web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Wifi de invitados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Ejercicio de derechos RGPD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Encuestas de satisfaccion aparcamiento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Newsletters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2026-08-17T04:00:49+00:00</dcterms:created>
  <dcterms:modified xsi:type="dcterms:W3CDTF">2026-08-17T04:00:49+00:00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