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1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6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Ce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n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s</w:t>
      </w:r>
      <w:r>
        <w:rPr>
          <w:rFonts w:ascii="Arial"/>
          <w:b/>
          <w:color w:val="1E487C"/>
          <w:sz w:val="36"/>
          <w:u w:val="single" w:color="000000"/>
        </w:rPr>
        <w:t>o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/>
          <w:b/>
          <w:color w:val="1E487C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se</w:t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7"/>
          <w:sz w:val="36"/>
          <w:u w:val="single" w:color="000000"/>
        </w:rPr>
        <w:t>v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spacing w:val="-9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me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l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Censo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servicios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comerciales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517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26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mantener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3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censo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actividades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o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servicios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profesionales,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tanto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sometidas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tasas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actividad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las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que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no,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que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llevan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cabo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dentro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recinto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Baleares.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Explotación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Portuaria/Dominio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Público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759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60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6.1.e)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públicos: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misión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008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su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Profesionales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2"/>
                <w:sz w:val="22"/>
              </w:rPr>
              <w:t>como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tal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que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van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a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ejercer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una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actividad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servicio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15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Apellidos,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2"/>
                <w:sz w:val="22"/>
              </w:rPr>
              <w:t>DNI.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2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54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520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6 - Censo de servicios comerciales.docx</dc:title>
  <dcterms:created xsi:type="dcterms:W3CDTF">2023-06-05T10:49:14Z</dcterms:created>
  <dcterms:modified xsi:type="dcterms:W3CDTF">2023-06-05T10:49:14Z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